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hd w:fill="ffffff" w:val="clear"/>
        <w:spacing w:line="276" w:lineRule="auto"/>
        <w:ind w:left="5040" w:firstLine="0"/>
        <w:jc w:val="both"/>
        <w:rPr>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adresse du service des impôts des entreprises dont relève la société</w:t>
      </w:r>
      <w:r w:rsidDel="00000000" w:rsidR="00000000" w:rsidRPr="00000000">
        <w:rPr>
          <w:sz w:val="24"/>
          <w:szCs w:val="24"/>
          <w:rtl w:val="0"/>
        </w:rPr>
        <w:t xml:space="preserve">]</w:t>
      </w:r>
    </w:p>
    <w:p w:rsidR="00000000" w:rsidDel="00000000" w:rsidP="00000000" w:rsidRDefault="00000000" w:rsidRPr="00000000" w14:paraId="00000003">
      <w:pPr>
        <w:pBdr>
          <w:top w:color="auto" w:space="0" w:sz="0" w:val="none"/>
          <w:left w:color="auto" w:space="0" w:sz="0" w:val="none"/>
          <w:bottom w:color="auto" w:space="12" w:sz="0" w:val="none"/>
          <w:right w:color="auto" w:space="0" w:sz="0" w:val="none"/>
        </w:pBdr>
        <w:shd w:fill="ffffff" w:val="clear"/>
        <w:spacing w:line="276" w:lineRule="auto"/>
        <w:ind w:left="5040" w:firstLine="0"/>
        <w:jc w:val="both"/>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2" w:sz="0" w:val="none"/>
          <w:right w:color="auto" w:space="0" w:sz="0" w:val="none"/>
        </w:pBdr>
        <w:shd w:fill="ffffff" w:val="clear"/>
        <w:spacing w:line="276" w:lineRule="auto"/>
        <w:ind w:left="5040" w:firstLine="0"/>
        <w:jc w:val="both"/>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hd w:fill="ffffff" w:val="clear"/>
        <w:spacing w:line="276" w:lineRule="auto"/>
        <w:jc w:val="both"/>
        <w:rPr>
          <w:i w:val="1"/>
          <w:sz w:val="24"/>
          <w:szCs w:val="24"/>
        </w:rPr>
      </w:pPr>
      <w:r w:rsidDel="00000000" w:rsidR="00000000" w:rsidRPr="00000000">
        <w:rPr>
          <w:i w:val="1"/>
          <w:sz w:val="24"/>
          <w:szCs w:val="24"/>
          <w:rtl w:val="0"/>
        </w:rPr>
        <w:t xml:space="preserve">Par lettre RAR</w:t>
      </w:r>
    </w:p>
    <w:p w:rsidR="00000000" w:rsidDel="00000000" w:rsidP="00000000" w:rsidRDefault="00000000" w:rsidRPr="00000000" w14:paraId="00000006">
      <w:pPr>
        <w:pBdr>
          <w:top w:color="auto" w:space="0" w:sz="0" w:val="none"/>
          <w:left w:color="auto" w:space="0" w:sz="0" w:val="none"/>
          <w:bottom w:color="auto" w:space="12" w:sz="0" w:val="none"/>
          <w:right w:color="auto" w:space="0" w:sz="0" w:val="none"/>
        </w:pBdr>
        <w:shd w:fill="ffffff" w:val="clear"/>
        <w:spacing w:line="276" w:lineRule="auto"/>
        <w:jc w:val="both"/>
        <w:rPr>
          <w:i w:val="1"/>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hd w:fill="ffffff" w:val="clear"/>
        <w:spacing w:line="276" w:lineRule="auto"/>
        <w:jc w:val="both"/>
        <w:rPr>
          <w:b w:val="1"/>
          <w:sz w:val="24"/>
          <w:szCs w:val="24"/>
        </w:rPr>
      </w:pPr>
      <w:r w:rsidDel="00000000" w:rsidR="00000000" w:rsidRPr="00000000">
        <w:rPr>
          <w:b w:val="1"/>
          <w:sz w:val="24"/>
          <w:szCs w:val="24"/>
          <w:u w:val="single"/>
          <w:rtl w:val="0"/>
        </w:rPr>
        <w:t xml:space="preserve">Objet</w:t>
      </w:r>
      <w:r w:rsidDel="00000000" w:rsidR="00000000" w:rsidRPr="00000000">
        <w:rPr>
          <w:b w:val="1"/>
          <w:sz w:val="24"/>
          <w:szCs w:val="24"/>
          <w:rtl w:val="0"/>
        </w:rPr>
        <w:t xml:space="preserve"> : Désignation d’un représentant en matière de taxe sur la valeur ajoutée - article 289 A du code général des impôts</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hd w:fill="ffffff" w:val="clear"/>
        <w:spacing w:line="276" w:lineRule="auto"/>
        <w:ind w:left="4320" w:firstLine="0"/>
        <w:jc w:val="both"/>
        <w:rPr>
          <w:b w:val="1"/>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hd w:fill="ffffff" w:val="clear"/>
        <w:spacing w:line="276" w:lineRule="auto"/>
        <w:jc w:val="both"/>
        <w:rPr>
          <w:sz w:val="24"/>
          <w:szCs w:val="24"/>
        </w:rPr>
      </w:pPr>
      <w:r w:rsidDel="00000000" w:rsidR="00000000" w:rsidRPr="00000000">
        <w:rPr>
          <w:sz w:val="24"/>
          <w:szCs w:val="24"/>
          <w:rtl w:val="0"/>
        </w:rPr>
        <w:t xml:space="preserve">Je soussigné, [</w:t>
      </w:r>
      <w:r w:rsidDel="00000000" w:rsidR="00000000" w:rsidRPr="00000000">
        <w:rPr>
          <w:i w:val="1"/>
          <w:sz w:val="24"/>
          <w:szCs w:val="24"/>
          <w:highlight w:val="yellow"/>
          <w:rtl w:val="0"/>
        </w:rPr>
        <w:t xml:space="preserve">nom, prénom, qualité d’une personne ayant qualité pour engager l’entreprise</w:t>
      </w:r>
      <w:r w:rsidDel="00000000" w:rsidR="00000000" w:rsidRPr="00000000">
        <w:rPr>
          <w:i w:val="1"/>
          <w:sz w:val="24"/>
          <w:szCs w:val="24"/>
          <w:rtl w:val="0"/>
        </w:rPr>
        <w:t xml:space="preserve"> </w:t>
      </w:r>
      <w:r w:rsidDel="00000000" w:rsidR="00000000" w:rsidRPr="00000000">
        <w:rPr>
          <w:i w:val="1"/>
          <w:sz w:val="24"/>
          <w:szCs w:val="24"/>
          <w:highlight w:val="yellow"/>
          <w:rtl w:val="0"/>
        </w:rPr>
        <w:t xml:space="preserve">étrangère</w:t>
      </w:r>
      <w:r w:rsidDel="00000000" w:rsidR="00000000" w:rsidRPr="00000000">
        <w:rPr>
          <w:sz w:val="24"/>
          <w:szCs w:val="24"/>
          <w:rtl w:val="0"/>
        </w:rPr>
        <w:t xml:space="preserve">], agissant au nom et pour le compte de la société [</w:t>
      </w:r>
      <w:r w:rsidDel="00000000" w:rsidR="00000000" w:rsidRPr="00000000">
        <w:rPr>
          <w:i w:val="1"/>
          <w:sz w:val="24"/>
          <w:szCs w:val="24"/>
          <w:highlight w:val="yellow"/>
          <w:rtl w:val="0"/>
        </w:rPr>
        <w:t xml:space="preserve">nom ou raison sociale et adresse complète de l'entreprise étrangère</w:t>
      </w:r>
      <w:r w:rsidDel="00000000" w:rsidR="00000000" w:rsidRPr="00000000">
        <w:rPr>
          <w:sz w:val="24"/>
          <w:szCs w:val="24"/>
          <w:rtl w:val="0"/>
        </w:rPr>
        <w:t xml:space="preserve">] désigne, conformément à l’</w:t>
      </w:r>
      <w:hyperlink r:id="rId6">
        <w:r w:rsidDel="00000000" w:rsidR="00000000" w:rsidRPr="00000000">
          <w:rPr>
            <w:color w:val="1155cc"/>
            <w:sz w:val="24"/>
            <w:szCs w:val="24"/>
            <w:u w:val="single"/>
            <w:rtl w:val="0"/>
          </w:rPr>
          <w:t xml:space="preserve">article 289 A du code général des impôts</w:t>
        </w:r>
      </w:hyperlink>
      <w:r w:rsidDel="00000000" w:rsidR="00000000" w:rsidRPr="00000000">
        <w:rPr>
          <w:sz w:val="24"/>
          <w:szCs w:val="24"/>
          <w:rtl w:val="0"/>
        </w:rPr>
        <w:t xml:space="preserve">, [</w:t>
      </w:r>
      <w:r w:rsidDel="00000000" w:rsidR="00000000" w:rsidRPr="00000000">
        <w:rPr>
          <w:i w:val="1"/>
          <w:sz w:val="24"/>
          <w:szCs w:val="24"/>
          <w:highlight w:val="yellow"/>
          <w:rtl w:val="0"/>
        </w:rPr>
        <w:t xml:space="preserve">nom ou raison sociale, adresse et n° SIRET de la personne établie en France</w:t>
      </w:r>
      <w:r w:rsidDel="00000000" w:rsidR="00000000" w:rsidRPr="00000000">
        <w:rPr>
          <w:sz w:val="24"/>
          <w:szCs w:val="24"/>
          <w:rtl w:val="0"/>
        </w:rPr>
        <w:t xml:space="preserve">], en qualité de mandataire pour :</w:t>
      </w:r>
    </w:p>
    <w:p w:rsidR="00000000" w:rsidDel="00000000" w:rsidP="00000000" w:rsidRDefault="00000000" w:rsidRPr="00000000" w14:paraId="0000000A">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accomplir les formalités et signer les déclarations relatives à l'immatriculation (inscription, radiation ou modification) de l'entreprise en France ;</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0C">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effectuer les obligations comptables (notamment délivrance des factures, tenue de la comptabilité, etc.) ;</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0E">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représenter l'entreprise auprès des services administratifs et fiscaux français, notamment pour signer, adresser et recevoir des documents, correspondances, demandes d'information et déclarations ;</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0">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envoyer, déposer et signer les déclarations de taxes sur le chiffre d'affaires ;</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2">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payer la TVA et les taxes assimilées dues ;</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4">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envoyer, déposer et signer la déclaration d'échanges de biens destinée aux services des douanes ,</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6">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envoyer, déposer et signer la déclaration européennes de services</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8">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établir une réclamation contentieuse auprès de l'administration ;</w:t>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A">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déposer, pour le compte de la société communautaire, une demande de remboursement de crédit de TVA non imputable ; </w:t>
      </w:r>
    </w:p>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C">
      <w:pPr>
        <w:numPr>
          <w:ilvl w:val="1"/>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sz w:val="24"/>
          <w:szCs w:val="24"/>
        </w:rPr>
      </w:pPr>
      <w:r w:rsidDel="00000000" w:rsidR="00000000" w:rsidRPr="00000000">
        <w:rPr>
          <w:sz w:val="24"/>
          <w:szCs w:val="24"/>
          <w:rtl w:val="0"/>
        </w:rPr>
        <w:t xml:space="preserve">en cas de contrôle fiscal : représenter l'entreprise au cours de l'ensemble des opérations de contrôle et répondre aux courriers et pièces de procédure (y compris les transactions) adressées par les services vérificateurs lors de la procédure de redressements, de la procédure de recouvrement et, le cas échéant, lors de la procédure contentieuse ; en ce cas, le contrôle sera réalisé sur place dans les locaux du mandataire et l'intégralité des pièces de procédure devra être envoyée à l'adresse de ces locaux : [</w:t>
      </w:r>
      <w:r w:rsidDel="00000000" w:rsidR="00000000" w:rsidRPr="00000000">
        <w:rPr>
          <w:i w:val="1"/>
          <w:sz w:val="24"/>
          <w:szCs w:val="24"/>
          <w:highlight w:val="yellow"/>
          <w:rtl w:val="0"/>
        </w:rPr>
        <w:t xml:space="preserve">adresse des locaux du représentant fiscale</w:t>
      </w:r>
      <w:r w:rsidDel="00000000" w:rsidR="00000000" w:rsidRPr="00000000">
        <w:rPr>
          <w:sz w:val="24"/>
          <w:szCs w:val="24"/>
          <w:rtl w:val="0"/>
        </w:rPr>
        <w:t xml:space="preserve">]</w:t>
      </w:r>
    </w:p>
    <w:p w:rsidR="00000000" w:rsidDel="00000000" w:rsidP="00000000" w:rsidRDefault="00000000" w:rsidRPr="00000000" w14:paraId="0000001D">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spacing w:after="240" w:lineRule="auto"/>
        <w:ind w:left="5245" w:firstLine="0"/>
        <w:jc w:val="both"/>
        <w:rPr>
          <w:sz w:val="24"/>
          <w:szCs w:val="24"/>
          <w:highlight w:val="white"/>
        </w:rPr>
      </w:pPr>
      <w:r w:rsidDel="00000000" w:rsidR="00000000" w:rsidRPr="00000000">
        <w:rPr>
          <w:rtl w:val="0"/>
        </w:rPr>
      </w:r>
    </w:p>
    <w:p w:rsidR="00000000" w:rsidDel="00000000" w:rsidP="00000000" w:rsidRDefault="00000000" w:rsidRPr="00000000" w14:paraId="0000001F">
      <w:pPr>
        <w:spacing w:after="240" w:lineRule="auto"/>
        <w:ind w:left="5245" w:firstLine="515"/>
        <w:jc w:val="both"/>
        <w:rPr>
          <w:sz w:val="24"/>
          <w:szCs w:val="24"/>
        </w:rPr>
      </w:pPr>
      <w:r w:rsidDel="00000000" w:rsidR="00000000" w:rsidRPr="00000000">
        <w:rPr>
          <w:sz w:val="24"/>
          <w:szCs w:val="24"/>
          <w:rtl w:val="0"/>
        </w:rPr>
        <w:t xml:space="preserve">A [</w:t>
      </w:r>
      <w:r w:rsidDel="00000000" w:rsidR="00000000" w:rsidRPr="00000000">
        <w:rPr>
          <w:i w:val="1"/>
          <w:sz w:val="24"/>
          <w:szCs w:val="24"/>
          <w:highlight w:val="yellow"/>
          <w:rtl w:val="0"/>
        </w:rPr>
        <w:t xml:space="preserve">lieu</w:t>
      </w:r>
      <w:r w:rsidDel="00000000" w:rsidR="00000000" w:rsidRPr="00000000">
        <w:rPr>
          <w:sz w:val="24"/>
          <w:szCs w:val="24"/>
          <w:rtl w:val="0"/>
        </w:rPr>
        <w:t xml:space="preserve">],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20">
      <w:pPr>
        <w:spacing w:after="240" w:lineRule="auto"/>
        <w:ind w:left="5245" w:firstLine="0"/>
        <w:jc w:val="both"/>
        <w:rPr>
          <w:sz w:val="24"/>
          <w:szCs w:val="24"/>
        </w:rPr>
      </w:pPr>
      <w:r w:rsidDel="00000000" w:rsidR="00000000" w:rsidRPr="00000000">
        <w:rPr>
          <w:rtl w:val="0"/>
        </w:rPr>
      </w:r>
    </w:p>
    <w:p w:rsidR="00000000" w:rsidDel="00000000" w:rsidP="00000000" w:rsidRDefault="00000000" w:rsidRPr="00000000" w14:paraId="00000021">
      <w:pPr>
        <w:spacing w:after="240" w:line="360" w:lineRule="auto"/>
        <w:ind w:firstLine="567"/>
        <w:jc w:val="right"/>
        <w:rPr>
          <w:i w:val="1"/>
          <w:sz w:val="24"/>
          <w:szCs w:val="24"/>
        </w:rPr>
      </w:pPr>
      <w:r w:rsidDel="00000000" w:rsidR="00000000" w:rsidRPr="00000000">
        <w:rPr>
          <w:i w:val="1"/>
          <w:sz w:val="24"/>
          <w:szCs w:val="24"/>
          <w:highlight w:val="yellow"/>
          <w:rtl w:val="0"/>
        </w:rPr>
        <w:t xml:space="preserve">Signature du représentant légal</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pStyle w:val="Heading1"/>
        <w:rPr>
          <w:sz w:val="24"/>
          <w:szCs w:val="24"/>
        </w:rPr>
      </w:pPr>
      <w:bookmarkStart w:colFirst="0" w:colLast="0" w:name="_jr97th2h7c9t" w:id="0"/>
      <w:bookmarkEnd w:id="0"/>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275"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B">
    <w:pPr>
      <w:widowControl w:val="0"/>
      <w:jc w:val="both"/>
      <w:rPr>
        <w:i w:val="1"/>
        <w:color w:val="999999"/>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D">
    <w:pPr>
      <w:widowControl w:val="0"/>
      <w:jc w:val="both"/>
      <w:rPr>
        <w:i w:val="1"/>
        <w:color w:val="999999"/>
        <w:sz w:val="18"/>
        <w:szCs w:val="18"/>
      </w:rPr>
    </w:pPr>
    <w:r w:rsidDel="00000000" w:rsidR="00000000" w:rsidRPr="00000000">
      <w:rPr>
        <w:i w:val="1"/>
        <w:color w:val="999999"/>
        <w:sz w:val="18"/>
        <w:szCs w:val="18"/>
        <w:rtl w:val="0"/>
      </w:rPr>
      <w:t xml:space="preserve">Wisetax est la marque sous laquelle la société Avocode société par actions simplifiée unipersonnelle (SASU) au capital de 1000 €, sis 36 rue Breteuil 13006 Marseille, immatriculée au registre du commerce et des sociétés de Marseille sous le numéro de SIREN  837 636 356</w:t>
    </w:r>
  </w:p>
  <w:p w:rsidR="00000000" w:rsidDel="00000000" w:rsidP="00000000" w:rsidRDefault="00000000" w:rsidRPr="00000000" w14:paraId="0000002E">
    <w:pPr>
      <w:widowControl w:val="0"/>
      <w:spacing w:after="100" w:lineRule="auto"/>
      <w:ind w:left="0" w:firstLine="0"/>
      <w:rPr>
        <w:color w:val="b7b7b7"/>
        <w:sz w:val="18"/>
        <w:szCs w:val="18"/>
      </w:rPr>
    </w:pPr>
    <w:r w:rsidDel="00000000" w:rsidR="00000000" w:rsidRPr="00000000">
      <w:rPr>
        <w:i w:val="1"/>
        <w:color w:val="999999"/>
        <w:sz w:val="18"/>
        <w:szCs w:val="18"/>
        <w:rtl w:val="0"/>
      </w:rPr>
      <w:t xml:space="preserve"> T: +33 (0) 637 681 353 - contact@wisetax.fr </w:t>
    </w:r>
    <w:r w:rsidDel="00000000" w:rsidR="00000000" w:rsidRPr="00000000">
      <w:rPr>
        <w:rtl w:val="0"/>
      </w:rPr>
    </w:r>
  </w:p>
  <w:p w:rsidR="00000000" w:rsidDel="00000000" w:rsidP="00000000" w:rsidRDefault="00000000" w:rsidRPr="00000000" w14:paraId="0000002F">
    <w:pPr>
      <w:widowControl w:val="0"/>
      <w:jc w:val="both"/>
      <w:rPr>
        <w:i w:val="1"/>
        <w:color w:val="9999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after="100" w:lineRule="auto"/>
      <w:ind w:left="4818.897637795276" w:firstLine="0"/>
      <w:jc w:val="right"/>
      <w:rPr>
        <w:color w:val="b7b7b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-247649</wp:posOffset>
          </wp:positionV>
          <wp:extent cx="2214563" cy="7721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25">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p w:rsidR="00000000" w:rsidDel="00000000" w:rsidP="00000000" w:rsidRDefault="00000000" w:rsidRPr="00000000" w14:paraId="00000026">
    <w:pPr>
      <w:widowControl w:val="0"/>
      <w:spacing w:after="100"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after="100" w:lineRule="auto"/>
      <w:ind w:left="4818.897637795276" w:firstLine="0"/>
      <w:rPr>
        <w:color w:val="99999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2214563" cy="7721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29">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earch.wisetax.fr/#/article/LEGI:CGI:289: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