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line="273.6" w:lineRule="auto"/>
        <w:rPr>
          <w:color w:val="00897b"/>
        </w:rPr>
      </w:pPr>
      <w:bookmarkStart w:colFirst="0" w:colLast="0" w:name="_eutl04x4y05x" w:id="0"/>
      <w:bookmarkEnd w:id="0"/>
      <w:r w:rsidDel="00000000" w:rsidR="00000000" w:rsidRPr="00000000">
        <w:rPr>
          <w:color w:val="00897b"/>
          <w:rtl w:val="0"/>
        </w:rPr>
        <w:t xml:space="preserve">Attestation de TVA (</w:t>
      </w:r>
      <w:hyperlink r:id="rId6">
        <w:r w:rsidDel="00000000" w:rsidR="00000000" w:rsidRPr="00000000">
          <w:rPr>
            <w:color w:val="009688"/>
            <w:rtl w:val="0"/>
          </w:rPr>
          <w:t xml:space="preserve">article 207-III 3° de l’annexe II au code général des impôts</w:t>
        </w:r>
      </w:hyperlink>
      <w:r w:rsidDel="00000000" w:rsidR="00000000" w:rsidRPr="00000000">
        <w:rPr>
          <w:color w:val="00897b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 un acte en date du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 du contrat de cession ou du contrat d’apport ou du contrat de transfert</w:t>
      </w:r>
      <w:r w:rsidDel="00000000" w:rsidR="00000000" w:rsidRPr="00000000">
        <w:rPr>
          <w:sz w:val="24"/>
          <w:szCs w:val="24"/>
          <w:rtl w:val="0"/>
        </w:rPr>
        <w:t xml:space="preserve">],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de l’entreprise cédante / apporteuse ou réalisant le transfert</w:t>
      </w:r>
      <w:r w:rsidDel="00000000" w:rsidR="00000000" w:rsidRPr="00000000">
        <w:rPr>
          <w:sz w:val="24"/>
          <w:szCs w:val="24"/>
          <w:rtl w:val="0"/>
        </w:rPr>
        <w:t xml:space="preserve">] a procédé à [</w:t>
      </w:r>
      <w:r w:rsidDel="00000000" w:rsidR="00000000" w:rsidRPr="00000000">
        <w:rPr>
          <w:i w:val="1"/>
          <w:sz w:val="24"/>
          <w:szCs w:val="24"/>
          <w:rtl w:val="0"/>
        </w:rPr>
        <w:t xml:space="preserve">la cession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ou</w:t>
      </w:r>
      <w:r w:rsidDel="00000000" w:rsidR="00000000" w:rsidRPr="00000000">
        <w:rPr>
          <w:i w:val="1"/>
          <w:sz w:val="24"/>
          <w:szCs w:val="24"/>
          <w:rtl w:val="0"/>
        </w:rPr>
        <w:t xml:space="preserve"> l’apport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ou</w:t>
      </w:r>
      <w:r w:rsidDel="00000000" w:rsidR="00000000" w:rsidRPr="00000000">
        <w:rPr>
          <w:i w:val="1"/>
          <w:sz w:val="24"/>
          <w:szCs w:val="24"/>
          <w:rtl w:val="0"/>
        </w:rPr>
        <w:t xml:space="preserve"> le transfert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– rayer la mention inutile</w:t>
      </w:r>
      <w:r w:rsidDel="00000000" w:rsidR="00000000" w:rsidRPr="00000000">
        <w:rPr>
          <w:sz w:val="24"/>
          <w:szCs w:val="24"/>
          <w:rtl w:val="0"/>
        </w:rPr>
        <w:t xml:space="preserve">] de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désigner précisément l’immobilisation cédée, apportée ou transférée</w:t>
      </w:r>
      <w:r w:rsidDel="00000000" w:rsidR="00000000" w:rsidRPr="00000000">
        <w:rPr>
          <w:sz w:val="24"/>
          <w:szCs w:val="24"/>
          <w:rtl w:val="0"/>
        </w:rPr>
        <w:t xml:space="preserve">] (ci-après le « Bien »)au profit de la société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de la cessionnaire ou du bénéficiaire de l’apport ou du transfert</w:t>
      </w:r>
      <w:r w:rsidDel="00000000" w:rsidR="00000000" w:rsidRPr="00000000">
        <w:rPr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4">
      <w:pPr>
        <w:spacing w:after="16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Bien constituait une immobilisation pour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de l’entreprise cédante / apporteuse ou réalisant le transfert</w:t>
      </w:r>
      <w:r w:rsidDel="00000000" w:rsidR="00000000" w:rsidRPr="00000000">
        <w:rPr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5">
      <w:pPr>
        <w:spacing w:after="160" w:before="120" w:line="360" w:lineRule="auto"/>
        <w:jc w:val="both"/>
        <w:rPr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Cette cession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ou</w:t>
      </w:r>
      <w:r w:rsidDel="00000000" w:rsidR="00000000" w:rsidRPr="00000000">
        <w:rPr>
          <w:i w:val="1"/>
          <w:sz w:val="24"/>
          <w:szCs w:val="24"/>
          <w:rtl w:val="0"/>
        </w:rPr>
        <w:t xml:space="preserve"> Cet apport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ou</w:t>
      </w:r>
      <w:r w:rsidDel="00000000" w:rsidR="00000000" w:rsidRPr="00000000">
        <w:rPr>
          <w:i w:val="1"/>
          <w:sz w:val="24"/>
          <w:szCs w:val="24"/>
          <w:rtl w:val="0"/>
        </w:rPr>
        <w:t xml:space="preserve"> Cet transfert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– supprimer la mention inutile</w:t>
      </w:r>
      <w:r w:rsidDel="00000000" w:rsidR="00000000" w:rsidRPr="00000000">
        <w:rPr>
          <w:sz w:val="24"/>
          <w:szCs w:val="24"/>
          <w:rtl w:val="0"/>
        </w:rPr>
        <w:t xml:space="preserve">] n’a pas été soumise à TVA sur le prix total ou sur la valeur totale du Bien, de sorte que la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de l’entreprise cédante / apporteuse ou réalisant le transfert</w:t>
      </w:r>
      <w:r w:rsidDel="00000000" w:rsidR="00000000" w:rsidRPr="00000000">
        <w:rPr>
          <w:sz w:val="24"/>
          <w:szCs w:val="24"/>
          <w:rtl w:val="0"/>
        </w:rPr>
        <w:t xml:space="preserve">] a procédé à une régularisation globale de la TVA initialement déduite lors [</w:t>
      </w:r>
      <w:r w:rsidDel="00000000" w:rsidR="00000000" w:rsidRPr="00000000">
        <w:rPr>
          <w:i w:val="1"/>
          <w:sz w:val="24"/>
          <w:szCs w:val="24"/>
          <w:rtl w:val="0"/>
        </w:rPr>
        <w:t xml:space="preserve">de l’acquisition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ou</w:t>
      </w:r>
      <w:r w:rsidDel="00000000" w:rsidR="00000000" w:rsidRPr="00000000">
        <w:rPr>
          <w:i w:val="1"/>
          <w:sz w:val="24"/>
          <w:szCs w:val="24"/>
          <w:rtl w:val="0"/>
        </w:rPr>
        <w:t xml:space="preserve"> de la construction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ou</w:t>
      </w:r>
      <w:r w:rsidDel="00000000" w:rsidR="00000000" w:rsidRPr="00000000">
        <w:rPr>
          <w:i w:val="1"/>
          <w:sz w:val="24"/>
          <w:szCs w:val="24"/>
          <w:rtl w:val="0"/>
        </w:rPr>
        <w:t xml:space="preserve"> de la production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ou</w:t>
      </w:r>
      <w:r w:rsidDel="00000000" w:rsidR="00000000" w:rsidRPr="00000000">
        <w:rPr>
          <w:i w:val="1"/>
          <w:sz w:val="24"/>
          <w:szCs w:val="24"/>
          <w:rtl w:val="0"/>
        </w:rPr>
        <w:t xml:space="preserve"> du transfert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– rayer la mention inutile</w:t>
      </w:r>
      <w:r w:rsidDel="00000000" w:rsidR="00000000" w:rsidRPr="00000000">
        <w:rPr>
          <w:sz w:val="24"/>
          <w:szCs w:val="24"/>
          <w:rtl w:val="0"/>
        </w:rPr>
        <w:t xml:space="preserve">] en application de l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’article 207 III-1 1° et III-2 de l’annexe II au code général des impôts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6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montant de la TVA reversée au Trésor Public au titre de cette régularisation s’établit à un total de :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montant de la régularisation globale de TVA</w:t>
      </w:r>
      <w:r w:rsidDel="00000000" w:rsidR="00000000" w:rsidRPr="00000000">
        <w:rPr>
          <w:sz w:val="24"/>
          <w:szCs w:val="24"/>
          <w:rtl w:val="0"/>
        </w:rPr>
        <w:t xml:space="preserve">]  euros.</w:t>
      </w:r>
    </w:p>
    <w:p w:rsidR="00000000" w:rsidDel="00000000" w:rsidP="00000000" w:rsidRDefault="00000000" w:rsidRPr="00000000" w14:paraId="00000007">
      <w:pPr>
        <w:spacing w:after="16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Une fois [</w:t>
      </w:r>
      <w:r w:rsidDel="00000000" w:rsidR="00000000" w:rsidRPr="00000000">
        <w:rPr>
          <w:i w:val="1"/>
          <w:sz w:val="24"/>
          <w:szCs w:val="24"/>
          <w:rtl w:val="0"/>
        </w:rPr>
        <w:t xml:space="preserve">la cession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ou</w:t>
      </w:r>
      <w:r w:rsidDel="00000000" w:rsidR="00000000" w:rsidRPr="00000000">
        <w:rPr>
          <w:i w:val="1"/>
          <w:sz w:val="24"/>
          <w:szCs w:val="24"/>
          <w:rtl w:val="0"/>
        </w:rPr>
        <w:t xml:space="preserve"> l’apport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ou</w:t>
      </w:r>
      <w:r w:rsidDel="00000000" w:rsidR="00000000" w:rsidRPr="00000000">
        <w:rPr>
          <w:i w:val="1"/>
          <w:sz w:val="24"/>
          <w:szCs w:val="24"/>
          <w:rtl w:val="0"/>
        </w:rPr>
        <w:t xml:space="preserve"> le transfert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– supprimer la mention inutile</w:t>
      </w:r>
      <w:r w:rsidDel="00000000" w:rsidR="00000000" w:rsidRPr="00000000">
        <w:rPr>
          <w:sz w:val="24"/>
          <w:szCs w:val="24"/>
          <w:rtl w:val="0"/>
        </w:rPr>
        <w:t xml:space="preserve">] réalisée le Bien constituera une immobilisation pour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de la cessionnaire ou du bénéficiaire de l’apport ou du transfert</w:t>
      </w:r>
      <w:r w:rsidDel="00000000" w:rsidR="00000000" w:rsidRPr="00000000">
        <w:rPr>
          <w:sz w:val="24"/>
          <w:szCs w:val="24"/>
          <w:rtl w:val="0"/>
        </w:rPr>
        <w:t xml:space="preserve">]. </w:t>
      </w:r>
    </w:p>
    <w:p w:rsidR="00000000" w:rsidDel="00000000" w:rsidP="00000000" w:rsidRDefault="00000000" w:rsidRPr="00000000" w14:paraId="00000008">
      <w:pPr>
        <w:spacing w:after="16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montant de TVA régularisée par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de l’entreprise cédante / apporteuse ou réalisant le transfert</w:t>
      </w:r>
      <w:r w:rsidDel="00000000" w:rsidR="00000000" w:rsidRPr="00000000">
        <w:rPr>
          <w:sz w:val="24"/>
          <w:szCs w:val="24"/>
          <w:rtl w:val="0"/>
        </w:rPr>
        <w:t xml:space="preserve">] est reporté en ligne 20 de la déclaration TVA 3310 CA3 de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de la cessionnaire ou du bénéficiaire de l’apport ou du transfert</w:t>
      </w:r>
      <w:r w:rsidDel="00000000" w:rsidR="00000000" w:rsidRPr="00000000">
        <w:rPr>
          <w:sz w:val="24"/>
          <w:szCs w:val="24"/>
          <w:rtl w:val="0"/>
        </w:rPr>
        <w:t xml:space="preserve">] qui déduira cette TVA dans les conditions prévues à l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’article 206 de l’annexe II au code général des impôts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860"/>
        </w:tabs>
        <w:spacing w:line="360" w:lineRule="auto"/>
        <w:ind w:left="5103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[nom ou raison sociale, adresse et numéro de TVA intracommunautaire du cessionnaire ou du bénéficiaire de l’apport ou du transfert</w:t>
      </w:r>
      <w:r w:rsidDel="00000000" w:rsidR="00000000" w:rsidRPr="00000000">
        <w:rPr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860"/>
        </w:tabs>
        <w:spacing w:line="360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lieu</w:t>
      </w:r>
      <w:r w:rsidDel="00000000" w:rsidR="00000000" w:rsidRPr="00000000">
        <w:rPr>
          <w:sz w:val="24"/>
          <w:szCs w:val="24"/>
          <w:rtl w:val="0"/>
        </w:rPr>
        <w:t xml:space="preserve">], le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jr97th2h7c9t" w:id="2"/>
      <w:bookmarkEnd w:id="2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/>
      <w:pgMar w:bottom="1440" w:top="1440" w:left="1275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Wisetax est la marque sous laquelle la société Avocode société par actions simplifiée unipersonnelle (SASU) au capital de 1000 €, sis 36 rue Breteuil 13006 Marseille, immatriculée au registre du commerce et des sociétés de Marseille sous le numéro de SIREN  837 636 356</w:t>
    </w:r>
  </w:p>
  <w:p w:rsidR="00000000" w:rsidDel="00000000" w:rsidP="00000000" w:rsidRDefault="00000000" w:rsidRPr="00000000" w14:paraId="00000018">
    <w:pPr>
      <w:widowControl w:val="0"/>
      <w:spacing w:after="100" w:lineRule="auto"/>
      <w:ind w:left="0" w:firstLine="0"/>
      <w:rPr>
        <w:color w:val="b7b7b7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 T: +33 (0) 637 681 353 - contact@wisetax.fr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-247649</wp:posOffset>
          </wp:positionV>
          <wp:extent cx="2214563" cy="77212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  <w:p w:rsidR="00000000" w:rsidDel="00000000" w:rsidP="00000000" w:rsidRDefault="00000000" w:rsidRPr="00000000" w14:paraId="00000010">
    <w:pPr>
      <w:widowControl w:val="0"/>
      <w:spacing w:after="10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spacing w:after="100" w:lineRule="auto"/>
      <w:ind w:left="4818.897637795276" w:firstLine="0"/>
      <w:rPr>
        <w:color w:val="999999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-342899</wp:posOffset>
          </wp:positionV>
          <wp:extent cx="2214563" cy="77212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search.wisetax.fr/#/article/LEGI:CGIANX2:207" TargetMode="External"/><Relationship Id="rId7" Type="http://schemas.openxmlformats.org/officeDocument/2006/relationships/hyperlink" Target="https://search.wisetax.fr/#/article/LEGI:CGIANX2:207" TargetMode="External"/><Relationship Id="rId8" Type="http://schemas.openxmlformats.org/officeDocument/2006/relationships/hyperlink" Target="https://search.wisetax.fr/#/article/LEGI:CGIANX2:20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