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tabs>
          <w:tab w:val="left" w:pos="4860"/>
        </w:tabs>
        <w:spacing w:before="240" w:line="18.818181818181817" w:lineRule="auto"/>
        <w:ind w:left="0" w:firstLine="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tabs>
          <w:tab w:val="left" w:pos="4860"/>
        </w:tabs>
        <w:spacing w:before="240" w:line="18.818181818181817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="276" w:lineRule="auto"/>
        <w:ind w:left="524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[adresse du service des impôts des entreprises dont relève la société</w:t>
      </w:r>
      <w:r w:rsidDel="00000000" w:rsidR="00000000" w:rsidRPr="00000000">
        <w:rPr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06">
      <w:pPr>
        <w:spacing w:after="240" w:line="276" w:lineRule="auto"/>
        <w:ind w:left="5245" w:firstLine="0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line="276" w:lineRule="auto"/>
        <w:ind w:left="5245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Par lettre RAR</w:t>
      </w:r>
    </w:p>
    <w:p w:rsidR="00000000" w:rsidDel="00000000" w:rsidP="00000000" w:rsidRDefault="00000000" w:rsidRPr="00000000" w14:paraId="00000009">
      <w:pPr>
        <w:spacing w:after="240" w:line="276" w:lineRule="auto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="276" w:lineRule="auto"/>
        <w:rPr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Objet</w:t>
      </w:r>
      <w:r w:rsidDel="00000000" w:rsidR="00000000" w:rsidRPr="00000000">
        <w:rPr>
          <w:b w:val="1"/>
          <w:sz w:val="24"/>
          <w:szCs w:val="24"/>
          <w:rtl w:val="0"/>
        </w:rPr>
        <w:t xml:space="preserve"> </w:t>
      </w:r>
      <w:r w:rsidDel="00000000" w:rsidR="00000000" w:rsidRPr="00000000">
        <w:rPr>
          <w:b w:val="1"/>
          <w:sz w:val="24"/>
          <w:szCs w:val="24"/>
          <w:rtl w:val="0"/>
        </w:rPr>
        <w:t xml:space="preserve">: Renonciation pour l’option pour la TVA sur les débits</w:t>
      </w:r>
    </w:p>
    <w:p w:rsidR="00000000" w:rsidDel="00000000" w:rsidP="00000000" w:rsidRDefault="00000000" w:rsidRPr="00000000" w14:paraId="0000000B">
      <w:pPr>
        <w:spacing w:after="200" w:line="276" w:lineRule="auto"/>
        <w:ind w:left="4248" w:firstLine="708.000000000000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Madame, Monsieur,</w:t>
      </w:r>
    </w:p>
    <w:p w:rsidR="00000000" w:rsidDel="00000000" w:rsidP="00000000" w:rsidRDefault="00000000" w:rsidRPr="00000000" w14:paraId="0000000D">
      <w:pPr>
        <w:spacing w:after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line="360" w:lineRule="auto"/>
        <w:ind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société 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[nom de la société</w:t>
      </w:r>
      <w:r w:rsidDel="00000000" w:rsidR="00000000" w:rsidRPr="00000000">
        <w:rPr>
          <w:sz w:val="24"/>
          <w:szCs w:val="24"/>
          <w:rtl w:val="0"/>
        </w:rPr>
        <w:t xml:space="preserve">] a pour activité 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[activité de la société</w:t>
      </w:r>
      <w:r w:rsidDel="00000000" w:rsidR="00000000" w:rsidRPr="00000000">
        <w:rPr>
          <w:sz w:val="24"/>
          <w:szCs w:val="24"/>
          <w:rtl w:val="0"/>
        </w:rPr>
        <w:t xml:space="preserve">]. Elle a exercé l’option pour le paiement de la TVA d’après les débits sur les loyers par un courrier en date du [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date du courrier</w:t>
      </w:r>
      <w:r w:rsidDel="00000000" w:rsidR="00000000" w:rsidRPr="00000000">
        <w:rPr>
          <w:sz w:val="24"/>
          <w:szCs w:val="24"/>
          <w:rtl w:val="0"/>
        </w:rPr>
        <w:t xml:space="preserve">], conformément à l’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article 77 de l’annexe III au code général des impôts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F">
      <w:pPr>
        <w:spacing w:after="240" w:line="360" w:lineRule="auto"/>
        <w:ind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 la présente, la société 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[nom de la société</w:t>
      </w:r>
      <w:r w:rsidDel="00000000" w:rsidR="00000000" w:rsidRPr="00000000">
        <w:rPr>
          <w:sz w:val="24"/>
          <w:szCs w:val="24"/>
          <w:rtl w:val="0"/>
        </w:rPr>
        <w:t xml:space="preserve">] souhaite vous informer qu’elle renonce au bénéfice de cette option.</w:t>
      </w:r>
    </w:p>
    <w:p w:rsidR="00000000" w:rsidDel="00000000" w:rsidP="00000000" w:rsidRDefault="00000000" w:rsidRPr="00000000" w14:paraId="00000010">
      <w:pPr>
        <w:spacing w:after="240" w:line="360" w:lineRule="auto"/>
        <w:ind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Comme le précise l’administration fiscale dans sa doctrine</w:t>
      </w:r>
      <w:r w:rsidDel="00000000" w:rsidR="00000000" w:rsidRPr="00000000">
        <w:rPr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sz w:val="24"/>
          <w:szCs w:val="24"/>
          <w:rtl w:val="0"/>
        </w:rPr>
        <w:t xml:space="preserve">, cette renonciation prendra effet à compter du 1</w:t>
      </w:r>
      <w:r w:rsidDel="00000000" w:rsidR="00000000" w:rsidRPr="00000000">
        <w:rPr>
          <w:sz w:val="24"/>
          <w:szCs w:val="24"/>
          <w:rtl w:val="0"/>
        </w:rPr>
        <w:t xml:space="preserve">er</w:t>
      </w:r>
      <w:r w:rsidDel="00000000" w:rsidR="00000000" w:rsidRPr="00000000">
        <w:rPr>
          <w:sz w:val="24"/>
          <w:szCs w:val="24"/>
          <w:rtl w:val="0"/>
        </w:rPr>
        <w:t xml:space="preserve"> jour du mois suivant celui au cours duquel ce courrier vous est envoyé, soit au cas présent pour les locations réalisées à compter du 1</w:t>
      </w:r>
      <w:r w:rsidDel="00000000" w:rsidR="00000000" w:rsidRPr="00000000">
        <w:rPr>
          <w:sz w:val="24"/>
          <w:szCs w:val="24"/>
          <w:rtl w:val="0"/>
        </w:rPr>
        <w:t xml:space="preserve">er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[mois suivant au cours duquel le courrier est envoyé</w:t>
      </w:r>
      <w:r w:rsidDel="00000000" w:rsidR="00000000" w:rsidRPr="00000000">
        <w:rPr>
          <w:sz w:val="24"/>
          <w:szCs w:val="24"/>
          <w:rtl w:val="0"/>
        </w:rPr>
        <w:t xml:space="preserve">] [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année de l’envoi du courrier</w:t>
      </w:r>
      <w:r w:rsidDel="00000000" w:rsidR="00000000" w:rsidRPr="00000000">
        <w:rPr>
          <w:sz w:val="24"/>
          <w:szCs w:val="24"/>
          <w:rtl w:val="0"/>
        </w:rPr>
        <w:t xml:space="preserve">]. </w:t>
      </w:r>
    </w:p>
    <w:p w:rsidR="00000000" w:rsidDel="00000000" w:rsidP="00000000" w:rsidRDefault="00000000" w:rsidRPr="00000000" w14:paraId="00000011">
      <w:pPr>
        <w:spacing w:after="240" w:line="360" w:lineRule="auto"/>
        <w:ind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sz w:val="24"/>
          <w:szCs w:val="24"/>
          <w:rtl w:val="0"/>
        </w:rPr>
        <w:t xml:space="preserve">Nous vous remercions de l’attention accordée à notre demande et restons à votre disposition pour toute information complémentaire.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line="360" w:lineRule="auto"/>
        <w:ind w:firstLine="567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line="360" w:lineRule="auto"/>
        <w:ind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sz w:val="24"/>
          <w:szCs w:val="24"/>
          <w:rtl w:val="0"/>
        </w:rPr>
        <w:t xml:space="preserve">Nous vous prions d’agréer, Madame, Monsieur, l’assurance de notre considération distinguée.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line="276" w:lineRule="auto"/>
        <w:ind w:left="5664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Fait à [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lieu</w:t>
      </w:r>
      <w:r w:rsidDel="00000000" w:rsidR="00000000" w:rsidRPr="00000000">
        <w:rPr>
          <w:sz w:val="24"/>
          <w:szCs w:val="24"/>
          <w:rtl w:val="0"/>
        </w:rPr>
        <w:t xml:space="preserve">], le [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date</w:t>
      </w:r>
      <w:r w:rsidDel="00000000" w:rsidR="00000000" w:rsidRPr="00000000">
        <w:rPr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19">
      <w:pPr>
        <w:spacing w:after="200" w:line="276" w:lineRule="auto"/>
        <w:ind w:left="4956" w:firstLine="6.000000000000227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i w:val="1"/>
          <w:sz w:val="24"/>
          <w:szCs w:val="24"/>
          <w:highlight w:val="yellow"/>
          <w:rtl w:val="0"/>
        </w:rPr>
        <w:t xml:space="preserve">Signature manuscrite de la personne engageant l’entreprise étrangère</w:t>
      </w:r>
      <w:r w:rsidDel="00000000" w:rsidR="00000000" w:rsidRPr="00000000">
        <w:rPr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4" w:w="11909"/>
      <w:pgMar w:bottom="1440" w:top="1440" w:left="1275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widowControl w:val="0"/>
      <w:jc w:val="both"/>
      <w:rPr>
        <w:i w:val="1"/>
        <w:color w:val="999999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widowControl w:val="0"/>
      <w:jc w:val="both"/>
      <w:rPr>
        <w:i w:val="1"/>
        <w:color w:val="999999"/>
        <w:sz w:val="18"/>
        <w:szCs w:val="18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widowControl w:val="0"/>
      <w:jc w:val="both"/>
      <w:rPr>
        <w:i w:val="1"/>
        <w:color w:val="999999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widowControl w:val="0"/>
      <w:jc w:val="both"/>
      <w:rPr>
        <w:i w:val="1"/>
        <w:color w:val="999999"/>
        <w:sz w:val="18"/>
        <w:szCs w:val="18"/>
      </w:rPr>
    </w:pPr>
    <w:r w:rsidDel="00000000" w:rsidR="00000000" w:rsidRPr="00000000">
      <w:rPr>
        <w:i w:val="1"/>
        <w:color w:val="999999"/>
        <w:sz w:val="18"/>
        <w:szCs w:val="18"/>
        <w:rtl w:val="0"/>
      </w:rPr>
      <w:t xml:space="preserve">Wisetax est la marque sous laquelle la société Avocode société par actions simplifiée unipersonnelle (SASU) au capital de 1000 €, sis 36 rue Breteuil 13006 Marseille, immatriculée au registre du commerce et des sociétés de Marseille sous le numéro de SIREN  837 636 356</w:t>
    </w:r>
  </w:p>
  <w:p w:rsidR="00000000" w:rsidDel="00000000" w:rsidP="00000000" w:rsidRDefault="00000000" w:rsidRPr="00000000" w14:paraId="00000024">
    <w:pPr>
      <w:widowControl w:val="0"/>
      <w:spacing w:after="100" w:lineRule="auto"/>
      <w:ind w:left="0" w:firstLine="0"/>
      <w:rPr>
        <w:color w:val="b7b7b7"/>
        <w:sz w:val="18"/>
        <w:szCs w:val="18"/>
      </w:rPr>
    </w:pPr>
    <w:r w:rsidDel="00000000" w:rsidR="00000000" w:rsidRPr="00000000">
      <w:rPr>
        <w:i w:val="1"/>
        <w:color w:val="999999"/>
        <w:sz w:val="18"/>
        <w:szCs w:val="18"/>
        <w:rtl w:val="0"/>
      </w:rPr>
      <w:t xml:space="preserve"> T: +33 (0) 637 681 353 - contact@wisetax.fr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widowControl w:val="0"/>
      <w:jc w:val="both"/>
      <w:rPr>
        <w:i w:val="1"/>
        <w:color w:val="999999"/>
        <w:sz w:val="18"/>
        <w:szCs w:val="18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6">
      <w:pPr>
        <w:rPr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Georgia" w:cs="Georgia" w:eastAsia="Georgia" w:hAnsi="Georgia"/>
          <w:sz w:val="16"/>
          <w:szCs w:val="16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BOFIP - </w:t>
      </w:r>
      <w:hyperlink r:id="rId1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BOI-TVA-BASE-20-50-10</w:t>
        </w:r>
      </w:hyperlink>
      <w:r w:rsidDel="00000000" w:rsidR="00000000" w:rsidRPr="00000000">
        <w:rPr>
          <w:sz w:val="16"/>
          <w:szCs w:val="16"/>
          <w:rtl w:val="0"/>
        </w:rPr>
        <w:t xml:space="preserve"> §60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widowControl w:val="0"/>
      <w:spacing w:after="100" w:lineRule="auto"/>
      <w:ind w:left="4818.897637795276" w:firstLine="0"/>
      <w:jc w:val="right"/>
      <w:rPr>
        <w:color w:val="b7b7b7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-85724</wp:posOffset>
          </wp:positionH>
          <wp:positionV relativeFrom="paragraph">
            <wp:posOffset>-247649</wp:posOffset>
          </wp:positionV>
          <wp:extent cx="2214563" cy="772127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14563" cy="77212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B">
    <w:pPr>
      <w:widowControl w:val="0"/>
      <w:spacing w:after="100" w:lineRule="auto"/>
      <w:ind w:left="4818.897637795276" w:firstLine="0"/>
      <w:jc w:val="right"/>
      <w:rPr>
        <w:color w:val="b7b7b7"/>
        <w:sz w:val="20"/>
        <w:szCs w:val="20"/>
      </w:rPr>
    </w:pPr>
    <w:r w:rsidDel="00000000" w:rsidR="00000000" w:rsidRPr="00000000">
      <w:rPr>
        <w:color w:val="b7b7b7"/>
        <w:sz w:val="20"/>
        <w:szCs w:val="20"/>
        <w:rtl w:val="0"/>
      </w:rPr>
      <w:t xml:space="preserve">www.wisetax.fr</w:t>
    </w:r>
  </w:p>
  <w:p w:rsidR="00000000" w:rsidDel="00000000" w:rsidP="00000000" w:rsidRDefault="00000000" w:rsidRPr="00000000" w14:paraId="0000001C">
    <w:pPr>
      <w:widowControl w:val="0"/>
      <w:spacing w:after="100" w:lineRule="auto"/>
      <w:ind w:left="0" w:firstLine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widowControl w:val="0"/>
      <w:spacing w:after="100" w:lineRule="auto"/>
      <w:ind w:left="4818.897637795276" w:firstLine="0"/>
      <w:rPr>
        <w:color w:val="999999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57151</wp:posOffset>
          </wp:positionH>
          <wp:positionV relativeFrom="paragraph">
            <wp:posOffset>-342899</wp:posOffset>
          </wp:positionV>
          <wp:extent cx="2214563" cy="772127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14563" cy="77212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widowControl w:val="0"/>
      <w:spacing w:after="100" w:lineRule="auto"/>
      <w:ind w:left="4818.897637795276" w:firstLine="0"/>
      <w:jc w:val="right"/>
      <w:rPr>
        <w:color w:val="b7b7b7"/>
        <w:sz w:val="20"/>
        <w:szCs w:val="20"/>
      </w:rPr>
    </w:pPr>
    <w:r w:rsidDel="00000000" w:rsidR="00000000" w:rsidRPr="00000000">
      <w:rPr>
        <w:color w:val="b7b7b7"/>
        <w:sz w:val="20"/>
        <w:szCs w:val="20"/>
        <w:rtl w:val="0"/>
      </w:rPr>
      <w:t xml:space="preserve">www.wisetax.fr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search.wisetax.fr/#/article/LEGI:CGIANX3:77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search.wisetax.fr/#/article/BOI:BOI:BOI-TVA-BASE-20-50-10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