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Référence de la société</w:t>
      </w:r>
      <w:r w:rsidDel="00000000" w:rsidR="00000000" w:rsidRPr="00000000">
        <w:rPr>
          <w:b w:val="1"/>
          <w:sz w:val="24"/>
          <w:szCs w:val="24"/>
          <w:rtl w:val="0"/>
        </w:rPr>
        <w:t xml:space="preserve"> 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nom de la société intégrante</w:t>
      </w:r>
      <w:r w:rsidDel="00000000" w:rsidR="00000000" w:rsidRPr="00000000">
        <w:rPr>
          <w:b w:val="1"/>
          <w:sz w:val="24"/>
          <w:szCs w:val="24"/>
          <w:rtl w:val="0"/>
        </w:rPr>
        <w:t xml:space="preserve">] - </w:t>
      </w: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numéro de SIRET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de la société intégrante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: Lettre d’option pour le régime de groupe prévu à l'article 223 A du code général des impôts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Je soussigné(e)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titre nom et prénom du représentant légal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] </w:t>
      </w:r>
      <w:r w:rsidDel="00000000" w:rsidR="00000000" w:rsidRPr="00000000">
        <w:rPr>
          <w:sz w:val="24"/>
          <w:szCs w:val="24"/>
          <w:rtl w:val="0"/>
        </w:rPr>
        <w:t xml:space="preserve">agissant en qualité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fonction du représentant légal</w:t>
      </w:r>
      <w:r w:rsidDel="00000000" w:rsidR="00000000" w:rsidRPr="00000000">
        <w:rPr>
          <w:sz w:val="24"/>
          <w:szCs w:val="24"/>
          <w:rtl w:val="0"/>
        </w:rPr>
        <w:t xml:space="preserve">] de la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 ou raison sociale de la société intégr</w:t>
      </w:r>
      <w:r w:rsidDel="00000000" w:rsidR="00000000" w:rsidRPr="00000000">
        <w:rPr>
          <w:i w:val="1"/>
          <w:sz w:val="24"/>
          <w:szCs w:val="24"/>
          <w:rtl w:val="0"/>
        </w:rPr>
        <w:t xml:space="preserve">ante</w:t>
      </w:r>
      <w:r w:rsidDel="00000000" w:rsidR="00000000" w:rsidRPr="00000000">
        <w:rPr>
          <w:sz w:val="24"/>
          <w:szCs w:val="24"/>
          <w:rtl w:val="0"/>
        </w:rPr>
        <w:t xml:space="preserve">], société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forme sociale</w:t>
      </w:r>
      <w:r w:rsidDel="00000000" w:rsidR="00000000" w:rsidRPr="00000000">
        <w:rPr>
          <w:sz w:val="24"/>
          <w:szCs w:val="24"/>
          <w:rtl w:val="0"/>
        </w:rPr>
        <w:t xml:space="preserve">], immatriculée au Registre du Commerce et des Sociétés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 d’enregistrement au RCS</w:t>
      </w:r>
      <w:r w:rsidDel="00000000" w:rsidR="00000000" w:rsidRPr="00000000">
        <w:rPr>
          <w:sz w:val="24"/>
          <w:szCs w:val="24"/>
          <w:rtl w:val="0"/>
        </w:rPr>
        <w:t xml:space="preserve">] sous le n°[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numéro d’enregistrement au RCS</w:t>
      </w:r>
      <w:r w:rsidDel="00000000" w:rsidR="00000000" w:rsidRPr="00000000">
        <w:rPr>
          <w:sz w:val="24"/>
          <w:szCs w:val="24"/>
          <w:rtl w:val="0"/>
        </w:rPr>
        <w:t xml:space="preserve">], dont le siège est situé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adresse du siège social</w:t>
      </w:r>
      <w:r w:rsidDel="00000000" w:rsidR="00000000" w:rsidRPr="00000000">
        <w:rPr>
          <w:sz w:val="24"/>
          <w:szCs w:val="24"/>
          <w:rtl w:val="0"/>
        </w:rPr>
        <w:t xml:space="preserve">],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à se constituer société mère d'un groupe formé en application des dispositions du deuxième alinéa du I de l'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article 223 A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Conformément à ces dispositions, la durée d'application de la présente option est de cinq exercices à compter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d'ouverture du premier exercice d'application du régime de l’intégration fiscal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0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durée du premier exercice de la période couverte par une nouvelle option est de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nombre de mois de la durée du premier exercice couvert l’intégration fiscale</w:t>
      </w:r>
      <w:r w:rsidDel="00000000" w:rsidR="00000000" w:rsidRPr="00000000">
        <w:rPr>
          <w:sz w:val="24"/>
          <w:szCs w:val="24"/>
          <w:rtl w:val="0"/>
        </w:rPr>
        <w:t xml:space="preserve">]  mois. </w:t>
      </w:r>
    </w:p>
    <w:p w:rsidR="00000000" w:rsidDel="00000000" w:rsidP="00000000" w:rsidRDefault="00000000" w:rsidRPr="00000000" w14:paraId="00000012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attestations par lesquelles les sociétés filiales membres du groupe donnent leur accord sont ci-jointes.</w:t>
      </w:r>
    </w:p>
    <w:p w:rsidR="00000000" w:rsidDel="00000000" w:rsidP="00000000" w:rsidRDefault="00000000" w:rsidRPr="00000000" w14:paraId="00000014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titre nom et prénom du représentant légal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de la société intégrante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17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fonction du représentant légal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8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(signature du représentant légal de la société intégrante)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245"/>
        </w:tabs>
        <w:spacing w:line="288" w:lineRule="auto"/>
        <w:ind w:left="426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5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D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earch.wisetax.fr/#/article/LEGI:CGI:223: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